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34F45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Instrukcja</w:t>
      </w:r>
    </w:p>
    <w:p w14:paraId="40C4FA16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16552">
        <w:rPr>
          <w:rFonts w:ascii="Arial" w:hAnsi="Arial" w:cs="Arial"/>
          <w:b/>
          <w:bCs/>
          <w:sz w:val="20"/>
          <w:szCs w:val="20"/>
        </w:rPr>
        <w:t xml:space="preserve">Alkohol w kosztach podatkowych firmy na imprezie firmowej – co na to fiskus? </w:t>
      </w:r>
    </w:p>
    <w:p w14:paraId="5FBAE6AC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Luiza Pieprzyk</w:t>
      </w:r>
    </w:p>
    <w:p w14:paraId="203035AB" w14:textId="77777777" w:rsidR="003277B2" w:rsidRDefault="003277B2" w:rsidP="003277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87AB26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 xml:space="preserve">Wyjątkiem, który nie może zostać uznany za koszt uzyskania przychodu w związku z imprezą integracyjną, są wydatki poczynione na alkohol. W tym zakresie wykształciła się jednolita linia orzecznicza, która zakazuje zaliczania w koszty uzyskania przychodu wydatków poniesionych na alkohol, ponieważ nie przyczyniają się one do osiągania przychodów lub zachowania bądź zabezpieczenia źródła przychodów. W interpretacji z </w:t>
      </w:r>
      <w:r>
        <w:rPr>
          <w:rFonts w:ascii="Arial" w:hAnsi="Arial" w:cs="Arial"/>
          <w:sz w:val="20"/>
          <w:szCs w:val="20"/>
        </w:rPr>
        <w:t xml:space="preserve">dnia </w:t>
      </w:r>
      <w:r w:rsidRPr="00F16552">
        <w:rPr>
          <w:rFonts w:ascii="Arial" w:hAnsi="Arial" w:cs="Arial"/>
          <w:sz w:val="20"/>
          <w:szCs w:val="20"/>
        </w:rPr>
        <w:t xml:space="preserve">1 września 2017 r., </w:t>
      </w:r>
      <w:r>
        <w:rPr>
          <w:rFonts w:ascii="Arial" w:hAnsi="Arial" w:cs="Arial"/>
          <w:sz w:val="20"/>
          <w:szCs w:val="20"/>
        </w:rPr>
        <w:t>znak:</w:t>
      </w:r>
      <w:r w:rsidRPr="00F16552">
        <w:rPr>
          <w:rFonts w:ascii="Arial" w:hAnsi="Arial" w:cs="Arial"/>
          <w:sz w:val="20"/>
          <w:szCs w:val="20"/>
        </w:rPr>
        <w:t xml:space="preserve"> 0114-KDIP2-1.4010.127.2017.1</w:t>
      </w:r>
      <w:r>
        <w:rPr>
          <w:rFonts w:ascii="Arial" w:hAnsi="Arial" w:cs="Arial"/>
          <w:sz w:val="20"/>
          <w:szCs w:val="20"/>
        </w:rPr>
        <w:t>,</w:t>
      </w:r>
      <w:r w:rsidRPr="00F16552">
        <w:rPr>
          <w:rFonts w:ascii="Arial" w:hAnsi="Arial" w:cs="Arial"/>
          <w:sz w:val="20"/>
          <w:szCs w:val="20"/>
        </w:rPr>
        <w:t xml:space="preserve"> Dyrektor Krajowej Informacji Skarbowej stwierdził</w:t>
      </w:r>
      <w:r>
        <w:rPr>
          <w:rFonts w:ascii="Arial" w:hAnsi="Arial" w:cs="Arial"/>
          <w:sz w:val="20"/>
          <w:szCs w:val="20"/>
        </w:rPr>
        <w:t xml:space="preserve">: </w:t>
      </w:r>
      <w:r w:rsidRPr="00F16552">
        <w:rPr>
          <w:rFonts w:ascii="Arial" w:hAnsi="Arial" w:cs="Arial"/>
          <w:sz w:val="20"/>
          <w:szCs w:val="20"/>
        </w:rPr>
        <w:t>„(…) odnosząc się do wydatków związanych z zakupem napojów alkoholowych, uznać należy, że wydatki te nie mogą stanowić kosztów uzyskania przychodów na podstawie art. 15 ust. 1 ustawy o podatku dochodowym od osób prawnych, gdyż nie można jednoznacznie powiązać wydatku na alkohol z zakładanym celem spotkań działowych mających na celu zwiększenie poziomu motywacji do pracy oraz poprawę atmosfery pracy. Spotkania te mają służyć zwiększeniu poziomu motywacji do pracy oraz integracji, co w konsekwencji przekłada się na zwiększanie przychodów osiąganych przez spółkę, lecz uzyskiwanie tego efektu poprzez zakup napojów alkoholowych należy uznać za pozostające poza związkiem przyczynowym, którego istnienie zakłada art. 15 ust. 1 ustawy o podatku dochodowym od osób prawnych”</w:t>
      </w:r>
      <w:r>
        <w:rPr>
          <w:rFonts w:ascii="Arial" w:hAnsi="Arial" w:cs="Arial"/>
          <w:sz w:val="20"/>
          <w:szCs w:val="20"/>
        </w:rPr>
        <w:t>.</w:t>
      </w:r>
    </w:p>
    <w:p w14:paraId="13BDBC54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Przy rozpatrywaniu kwestii alkoholu organy podatkowe i sądy zwracają również uwagę na treść art. 2 ust. 1 pkt 1 ustawy z 26 października 1982 r. o wychowaniu w trzeźwości, który stanowi, że zadania w</w:t>
      </w:r>
      <w:r>
        <w:rPr>
          <w:rFonts w:ascii="Arial" w:hAnsi="Arial" w:cs="Arial"/>
          <w:sz w:val="20"/>
          <w:szCs w:val="20"/>
        </w:rPr>
        <w:t> </w:t>
      </w:r>
      <w:r w:rsidRPr="00F16552">
        <w:rPr>
          <w:rFonts w:ascii="Arial" w:hAnsi="Arial" w:cs="Arial"/>
          <w:sz w:val="20"/>
          <w:szCs w:val="20"/>
        </w:rPr>
        <w:t>zakresie przeciwdziałania alkoholizmowi wykonuje się przez odpowiednie kształtowanie polityki społecznej, w szczególności tworzenie warunków sprzyjających realizacji potrzeb, których zaspokajanie motywuje powstrzymywanie się od spożywania alkoholu.</w:t>
      </w:r>
    </w:p>
    <w:p w14:paraId="70EEAF2A" w14:textId="77777777" w:rsidR="003277B2" w:rsidRDefault="003277B2" w:rsidP="003277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FC2D77F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 xml:space="preserve">Ważne! </w:t>
      </w:r>
    </w:p>
    <w:p w14:paraId="40D1D2B7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Nieuzasadnione jest więc łączenie spożycia alkoholu ze wzrostem motywacji oraz polepszeniem atmosfery w pracy. Jak zauważył NSA w wyroku z dnia 16 października 2013 r.</w:t>
      </w:r>
      <w:r>
        <w:rPr>
          <w:rFonts w:ascii="Arial" w:hAnsi="Arial" w:cs="Arial"/>
          <w:sz w:val="20"/>
          <w:szCs w:val="20"/>
        </w:rPr>
        <w:t>,</w:t>
      </w:r>
      <w:r w:rsidRPr="00F16552">
        <w:rPr>
          <w:rFonts w:ascii="Arial" w:hAnsi="Arial" w:cs="Arial"/>
          <w:sz w:val="20"/>
          <w:szCs w:val="20"/>
        </w:rPr>
        <w:t xml:space="preserve"> sygn. akt: II FSK 1517/11</w:t>
      </w:r>
      <w:r>
        <w:rPr>
          <w:rFonts w:ascii="Arial" w:hAnsi="Arial" w:cs="Arial"/>
          <w:sz w:val="20"/>
          <w:szCs w:val="20"/>
        </w:rPr>
        <w:t xml:space="preserve">: </w:t>
      </w:r>
      <w:r w:rsidRPr="009945F0">
        <w:rPr>
          <w:rFonts w:ascii="Arial" w:hAnsi="Arial" w:cs="Arial"/>
          <w:i/>
          <w:iCs/>
          <w:sz w:val="20"/>
          <w:szCs w:val="20"/>
        </w:rPr>
        <w:t xml:space="preserve">(…) </w:t>
      </w:r>
      <w:r>
        <w:rPr>
          <w:rFonts w:ascii="Arial" w:hAnsi="Arial" w:cs="Arial"/>
          <w:i/>
          <w:iCs/>
          <w:sz w:val="20"/>
          <w:szCs w:val="20"/>
        </w:rPr>
        <w:t>„</w:t>
      </w:r>
      <w:r w:rsidRPr="004A59B8">
        <w:rPr>
          <w:rFonts w:ascii="Arial" w:hAnsi="Arial" w:cs="Arial"/>
          <w:iCs/>
          <w:sz w:val="20"/>
          <w:szCs w:val="20"/>
        </w:rPr>
        <w:t>nie znajduje naukowego potwierdzenia działanie alkoholu jako czynnika pozytywnie wpływającego na integrację określonych grup ludzi</w:t>
      </w:r>
      <w:r>
        <w:rPr>
          <w:rFonts w:ascii="Arial" w:hAnsi="Arial" w:cs="Arial"/>
          <w:i/>
          <w:iCs/>
          <w:sz w:val="20"/>
          <w:szCs w:val="20"/>
        </w:rPr>
        <w:t>”</w:t>
      </w:r>
      <w:r w:rsidRPr="009945F0">
        <w:rPr>
          <w:rFonts w:ascii="Arial" w:hAnsi="Arial" w:cs="Arial"/>
          <w:i/>
          <w:iCs/>
          <w:sz w:val="20"/>
          <w:szCs w:val="20"/>
        </w:rPr>
        <w:t>.</w:t>
      </w:r>
      <w:r w:rsidRPr="00F16552">
        <w:rPr>
          <w:rFonts w:ascii="Arial" w:hAnsi="Arial" w:cs="Arial"/>
          <w:sz w:val="20"/>
          <w:szCs w:val="20"/>
        </w:rPr>
        <w:t xml:space="preserve"> Zatem, jak widać, nie wszystkie wydatki związane z imprezami integracyjnymi mogą być zaliczone do kosztów uzyskania przychodów. Ważne jest, aby dany wydatek miał na celu motywację oraz integrację pracowników między sobą oraz z pracodawcą. </w:t>
      </w:r>
    </w:p>
    <w:p w14:paraId="4C8D9D6E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Pr="00F16552">
        <w:rPr>
          <w:rFonts w:ascii="Arial" w:hAnsi="Arial" w:cs="Arial"/>
          <w:b/>
          <w:sz w:val="20"/>
          <w:szCs w:val="20"/>
        </w:rPr>
        <w:t xml:space="preserve">ydatki poniesione na alkohol podawany podczas imprez integracyjnych zawsze będą wyłączone z kosztów uzyskania przychodów. Jedyny wyjątek mogłoby stanowić świadczenie kompleksowe, czyli impreza organizowana przez firmę </w:t>
      </w:r>
      <w:proofErr w:type="spellStart"/>
      <w:r w:rsidRPr="00F16552">
        <w:rPr>
          <w:rFonts w:ascii="Arial" w:hAnsi="Arial" w:cs="Arial"/>
          <w:b/>
          <w:sz w:val="20"/>
          <w:szCs w:val="20"/>
        </w:rPr>
        <w:t>eventową</w:t>
      </w:r>
      <w:proofErr w:type="spellEnd"/>
      <w:r w:rsidRPr="00F16552">
        <w:rPr>
          <w:rFonts w:ascii="Arial" w:hAnsi="Arial" w:cs="Arial"/>
          <w:b/>
          <w:sz w:val="20"/>
          <w:szCs w:val="20"/>
        </w:rPr>
        <w:t xml:space="preserve">. </w:t>
      </w:r>
      <w:r w:rsidRPr="00054C7E">
        <w:rPr>
          <w:rFonts w:ascii="Arial" w:hAnsi="Arial" w:cs="Arial"/>
          <w:bCs/>
          <w:sz w:val="20"/>
          <w:szCs w:val="20"/>
        </w:rPr>
        <w:t>Z</w:t>
      </w:r>
      <w:r w:rsidRPr="00F16552">
        <w:rPr>
          <w:rFonts w:ascii="Arial" w:hAnsi="Arial" w:cs="Arial"/>
          <w:sz w:val="20"/>
          <w:szCs w:val="20"/>
        </w:rPr>
        <w:t xml:space="preserve">godnie z art. 29 a ustawy o VAT </w:t>
      </w:r>
      <w:r>
        <w:rPr>
          <w:rFonts w:ascii="Arial" w:hAnsi="Arial" w:cs="Arial"/>
          <w:sz w:val="20"/>
          <w:szCs w:val="20"/>
        </w:rPr>
        <w:t>(</w:t>
      </w:r>
      <w:r w:rsidRPr="00F16552">
        <w:rPr>
          <w:rFonts w:ascii="Arial" w:hAnsi="Arial" w:cs="Arial"/>
          <w:sz w:val="20"/>
          <w:szCs w:val="20"/>
        </w:rPr>
        <w:t>podstawa opodatkowania</w:t>
      </w:r>
      <w:r>
        <w:rPr>
          <w:rFonts w:ascii="Arial" w:hAnsi="Arial" w:cs="Arial"/>
          <w:sz w:val="20"/>
          <w:szCs w:val="20"/>
        </w:rPr>
        <w:t>) f</w:t>
      </w:r>
      <w:r w:rsidRPr="00F16552">
        <w:rPr>
          <w:rFonts w:ascii="Arial" w:hAnsi="Arial" w:cs="Arial"/>
          <w:sz w:val="20"/>
          <w:szCs w:val="20"/>
        </w:rPr>
        <w:t>aktura na organizacj</w:t>
      </w:r>
      <w:r>
        <w:rPr>
          <w:rFonts w:ascii="Arial" w:hAnsi="Arial" w:cs="Arial"/>
          <w:sz w:val="20"/>
          <w:szCs w:val="20"/>
        </w:rPr>
        <w:t>ę</w:t>
      </w:r>
      <w:r w:rsidRPr="00F16552">
        <w:rPr>
          <w:rFonts w:ascii="Arial" w:hAnsi="Arial" w:cs="Arial"/>
          <w:sz w:val="20"/>
          <w:szCs w:val="20"/>
        </w:rPr>
        <w:t xml:space="preserve"> i realizacj</w:t>
      </w:r>
      <w:r>
        <w:rPr>
          <w:rFonts w:ascii="Arial" w:hAnsi="Arial" w:cs="Arial"/>
          <w:sz w:val="20"/>
          <w:szCs w:val="20"/>
        </w:rPr>
        <w:t>ę</w:t>
      </w:r>
      <w:r w:rsidRPr="00F16552">
        <w:rPr>
          <w:rFonts w:ascii="Arial" w:hAnsi="Arial" w:cs="Arial"/>
          <w:sz w:val="20"/>
          <w:szCs w:val="20"/>
        </w:rPr>
        <w:t xml:space="preserve"> spotkania biznesowego nie jest spisem treści</w:t>
      </w:r>
      <w:r>
        <w:rPr>
          <w:rFonts w:ascii="Arial" w:hAnsi="Arial" w:cs="Arial"/>
          <w:sz w:val="20"/>
          <w:szCs w:val="20"/>
        </w:rPr>
        <w:t xml:space="preserve"> –</w:t>
      </w:r>
      <w:r w:rsidRPr="00F1655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F16552">
        <w:rPr>
          <w:rFonts w:ascii="Arial" w:hAnsi="Arial" w:cs="Arial"/>
          <w:sz w:val="20"/>
          <w:szCs w:val="20"/>
        </w:rPr>
        <w:t xml:space="preserve">ależy w treści faktury zamieścić finalną usługę, a nie spis treści, czyli składniki użyte do jej wykonania. </w:t>
      </w:r>
    </w:p>
    <w:p w14:paraId="6FDD74D4" w14:textId="77777777" w:rsidR="003277B2" w:rsidRDefault="003277B2" w:rsidP="003277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DD7CA20" w14:textId="77777777" w:rsidR="003277B2" w:rsidRPr="00F16552" w:rsidRDefault="003277B2" w:rsidP="003277B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Podstawa prawna</w:t>
      </w:r>
    </w:p>
    <w:p w14:paraId="7A71F0AF" w14:textId="77777777" w:rsidR="003277B2" w:rsidRPr="00AE3E09" w:rsidRDefault="003277B2" w:rsidP="003277B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3E09">
        <w:rPr>
          <w:rFonts w:ascii="Arial" w:hAnsi="Arial" w:cs="Arial"/>
          <w:sz w:val="20"/>
          <w:szCs w:val="20"/>
        </w:rPr>
        <w:lastRenderedPageBreak/>
        <w:t>Interpretacja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AE3E09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AE3E09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AE3E09">
        <w:rPr>
          <w:rFonts w:ascii="Arial" w:hAnsi="Arial" w:cs="Arial"/>
          <w:sz w:val="20"/>
          <w:szCs w:val="20"/>
        </w:rPr>
        <w:t xml:space="preserve"> z dnia 1 września 2017 r., </w:t>
      </w:r>
      <w:r>
        <w:rPr>
          <w:rFonts w:ascii="Arial" w:hAnsi="Arial" w:cs="Arial"/>
          <w:sz w:val="20"/>
          <w:szCs w:val="20"/>
        </w:rPr>
        <w:t>znak:</w:t>
      </w:r>
      <w:r w:rsidRPr="00AE3E09">
        <w:rPr>
          <w:rFonts w:ascii="Arial" w:hAnsi="Arial" w:cs="Arial"/>
          <w:sz w:val="20"/>
          <w:szCs w:val="20"/>
        </w:rPr>
        <w:t xml:space="preserve"> 0114-KDIP2-1.4010.127.2017.1</w:t>
      </w:r>
      <w:r>
        <w:rPr>
          <w:rFonts w:ascii="Arial" w:hAnsi="Arial" w:cs="Arial"/>
          <w:sz w:val="20"/>
          <w:szCs w:val="20"/>
        </w:rPr>
        <w:t>.</w:t>
      </w:r>
    </w:p>
    <w:p w14:paraId="002B5939" w14:textId="77777777" w:rsidR="003277B2" w:rsidRPr="00AE3E09" w:rsidRDefault="003277B2" w:rsidP="003277B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3E09">
        <w:rPr>
          <w:rFonts w:ascii="Arial" w:hAnsi="Arial" w:cs="Arial"/>
          <w:sz w:val="20"/>
          <w:szCs w:val="20"/>
        </w:rPr>
        <w:t>NSA wyrok z dnia 16 października 2013 r.</w:t>
      </w:r>
      <w:r>
        <w:rPr>
          <w:rFonts w:ascii="Arial" w:hAnsi="Arial" w:cs="Arial"/>
          <w:sz w:val="20"/>
          <w:szCs w:val="20"/>
        </w:rPr>
        <w:t>,</w:t>
      </w:r>
      <w:r w:rsidRPr="00AE3E09">
        <w:rPr>
          <w:rFonts w:ascii="Arial" w:hAnsi="Arial" w:cs="Arial"/>
          <w:sz w:val="20"/>
          <w:szCs w:val="20"/>
        </w:rPr>
        <w:t xml:space="preserve"> sygn. akt: II FSK 1517/11.</w:t>
      </w:r>
    </w:p>
    <w:p w14:paraId="31FA0CD3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8574B"/>
    <w:multiLevelType w:val="hybridMultilevel"/>
    <w:tmpl w:val="3DF08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C1E"/>
    <w:rsid w:val="003277B2"/>
    <w:rsid w:val="0054151C"/>
    <w:rsid w:val="00C9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39A55-A502-4C63-993D-50B8F5D0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77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3277B2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327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2691</Characters>
  <Application>Microsoft Office Word</Application>
  <DocSecurity>0</DocSecurity>
  <Lines>22</Lines>
  <Paragraphs>6</Paragraphs>
  <ScaleCrop>false</ScaleCrop>
  <Company>Forum Media Polska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2024-08-08T11:35:00Z</dcterms:created>
  <dcterms:modified xsi:type="dcterms:W3CDTF">2024-08-08T11:35:00Z</dcterms:modified>
</cp:coreProperties>
</file>